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970F3F" w14:textId="779AC234" w:rsidR="008622C2" w:rsidRPr="00B266B0" w:rsidRDefault="008622C2" w:rsidP="372F2A27">
      <w:pPr>
        <w:pStyle w:val="Header"/>
        <w:tabs>
          <w:tab w:val="right" w:pos="9639"/>
        </w:tabs>
        <w:rPr>
          <w:i/>
          <w:iCs/>
          <w:noProof w:val="0"/>
          <w:sz w:val="24"/>
          <w:szCs w:val="24"/>
        </w:rPr>
      </w:pPr>
      <w:r w:rsidRPr="372F2A27">
        <w:rPr>
          <w:noProof w:val="0"/>
          <w:sz w:val="24"/>
          <w:szCs w:val="24"/>
        </w:rPr>
        <w:t>3GPP TSG-RAN WG2 Meeting #11</w:t>
      </w:r>
      <w:r w:rsidR="004E07CC">
        <w:rPr>
          <w:noProof w:val="0"/>
          <w:sz w:val="24"/>
          <w:szCs w:val="24"/>
        </w:rPr>
        <w:t>6</w:t>
      </w:r>
      <w:r w:rsidRPr="372F2A27">
        <w:rPr>
          <w:noProof w:val="0"/>
          <w:sz w:val="24"/>
          <w:szCs w:val="24"/>
        </w:rPr>
        <w:t xml:space="preserve"> Electronic</w:t>
      </w:r>
      <w:r>
        <w:tab/>
      </w:r>
      <w:r w:rsidRPr="372F2A27">
        <w:rPr>
          <w:noProof w:val="0"/>
          <w:sz w:val="24"/>
          <w:szCs w:val="24"/>
        </w:rPr>
        <w:t>R2-21</w:t>
      </w:r>
      <w:r w:rsidR="00E0257A">
        <w:rPr>
          <w:noProof w:val="0"/>
          <w:sz w:val="24"/>
          <w:szCs w:val="24"/>
        </w:rPr>
        <w:t>10719</w:t>
      </w:r>
    </w:p>
    <w:p w14:paraId="5E30B99A" w14:textId="7EFD8F8E" w:rsidR="008622C2" w:rsidRPr="00465587" w:rsidRDefault="008622C2" w:rsidP="008622C2">
      <w:pPr>
        <w:pStyle w:val="Header"/>
        <w:tabs>
          <w:tab w:val="right" w:pos="9639"/>
        </w:tabs>
        <w:rPr>
          <w:rFonts w:eastAsia="SimSun"/>
          <w:bCs/>
          <w:sz w:val="24"/>
          <w:szCs w:val="24"/>
          <w:lang w:eastAsia="zh-CN"/>
        </w:rPr>
      </w:pPr>
      <w:r>
        <w:rPr>
          <w:rFonts w:eastAsia="SimSun"/>
          <w:bCs/>
          <w:sz w:val="24"/>
          <w:szCs w:val="24"/>
          <w:lang w:eastAsia="zh-CN"/>
        </w:rPr>
        <w:t>Elbonia</w:t>
      </w:r>
      <w:r w:rsidRPr="006574C0">
        <w:rPr>
          <w:rFonts w:eastAsia="SimSun"/>
          <w:bCs/>
          <w:sz w:val="24"/>
          <w:szCs w:val="24"/>
          <w:lang w:eastAsia="zh-CN"/>
        </w:rPr>
        <w:t>,</w:t>
      </w:r>
      <w:r w:rsidR="00023954">
        <w:rPr>
          <w:rFonts w:eastAsia="SimSun"/>
          <w:bCs/>
          <w:sz w:val="24"/>
          <w:szCs w:val="24"/>
          <w:lang w:eastAsia="zh-CN"/>
        </w:rPr>
        <w:t xml:space="preserve"> </w:t>
      </w:r>
      <w:r w:rsidR="004E07CC">
        <w:rPr>
          <w:rFonts w:eastAsia="SimSun"/>
          <w:bCs/>
          <w:sz w:val="24"/>
          <w:szCs w:val="24"/>
          <w:lang w:eastAsia="zh-CN"/>
        </w:rPr>
        <w:t>1-12</w:t>
      </w:r>
      <w:r w:rsidR="00023954">
        <w:rPr>
          <w:rFonts w:eastAsia="SimSun"/>
          <w:bCs/>
          <w:sz w:val="24"/>
          <w:szCs w:val="24"/>
          <w:lang w:eastAsia="zh-CN"/>
        </w:rPr>
        <w:t xml:space="preserve"> </w:t>
      </w:r>
      <w:r w:rsidRPr="006574C0">
        <w:rPr>
          <w:rFonts w:eastAsia="SimSun"/>
          <w:bCs/>
          <w:sz w:val="24"/>
          <w:szCs w:val="24"/>
          <w:lang w:eastAsia="zh-CN"/>
        </w:rPr>
        <w:t xml:space="preserve"> </w:t>
      </w:r>
      <w:r w:rsidR="004E07CC">
        <w:rPr>
          <w:rFonts w:eastAsia="SimSun"/>
          <w:bCs/>
          <w:sz w:val="24"/>
          <w:szCs w:val="24"/>
          <w:lang w:eastAsia="zh-CN"/>
        </w:rPr>
        <w:t>November</w:t>
      </w:r>
      <w:r w:rsidRPr="006E1057">
        <w:rPr>
          <w:rFonts w:eastAsia="SimSun"/>
          <w:bCs/>
          <w:sz w:val="24"/>
          <w:szCs w:val="24"/>
          <w:lang w:eastAsia="zh-CN"/>
        </w:rPr>
        <w:t xml:space="preserve"> 2021</w:t>
      </w:r>
      <w:r>
        <w:rPr>
          <w:rFonts w:eastAsia="SimSun"/>
          <w:noProof w:val="0"/>
          <w:sz w:val="24"/>
          <w:szCs w:val="24"/>
          <w:lang w:eastAsia="zh-CN"/>
        </w:rPr>
        <w:tab/>
      </w:r>
    </w:p>
    <w:p w14:paraId="0E4D415C" w14:textId="77777777" w:rsidR="008622C2" w:rsidRPr="00B266B0" w:rsidRDefault="008622C2" w:rsidP="008622C2">
      <w:pPr>
        <w:pStyle w:val="Header"/>
        <w:rPr>
          <w:bCs/>
          <w:noProof w:val="0"/>
          <w:sz w:val="24"/>
        </w:rPr>
      </w:pP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FB0C776" w:rsidR="00A209D6" w:rsidRPr="00B266B0" w:rsidRDefault="00A209D6" w:rsidP="372F2A27">
      <w:pPr>
        <w:pStyle w:val="CRCoverPage"/>
        <w:tabs>
          <w:tab w:val="left" w:pos="1985"/>
        </w:tabs>
        <w:rPr>
          <w:rFonts w:cs="Arial"/>
          <w:b/>
          <w:bCs/>
          <w:sz w:val="24"/>
          <w:szCs w:val="24"/>
          <w:lang w:eastAsia="ja-JP"/>
        </w:rPr>
      </w:pPr>
      <w:r w:rsidRPr="0093F53D">
        <w:rPr>
          <w:rFonts w:cs="Arial"/>
          <w:b/>
          <w:bCs/>
          <w:sz w:val="24"/>
          <w:szCs w:val="24"/>
        </w:rPr>
        <w:t>Agenda item:</w:t>
      </w:r>
      <w:r>
        <w:tab/>
      </w:r>
      <w:r w:rsidR="7CE52896" w:rsidRPr="0093F53D">
        <w:rPr>
          <w:rFonts w:cs="Arial"/>
          <w:b/>
          <w:bCs/>
          <w:sz w:val="24"/>
          <w:szCs w:val="24"/>
          <w:lang w:eastAsia="ja-JP"/>
        </w:rPr>
        <w:t>8.13.2.3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767C5F4F"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E07CC">
        <w:rPr>
          <w:rFonts w:ascii="Arial" w:hAnsi="Arial" w:cs="Arial"/>
          <w:b/>
          <w:bCs/>
          <w:sz w:val="24"/>
        </w:rPr>
        <w:t xml:space="preserve">UE grouping </w:t>
      </w:r>
      <w:r w:rsidR="00787D2F">
        <w:rPr>
          <w:rFonts w:ascii="Arial" w:hAnsi="Arial" w:cs="Arial"/>
          <w:b/>
          <w:bCs/>
          <w:sz w:val="24"/>
        </w:rPr>
        <w:t xml:space="preserve">impact on MRO </w:t>
      </w:r>
    </w:p>
    <w:p w14:paraId="1F147C23" w14:textId="54CA3574" w:rsidR="00A209D6" w:rsidRPr="00B266B0" w:rsidRDefault="00A209D6" w:rsidP="372F2A27">
      <w:pPr>
        <w:ind w:left="1985" w:hanging="1985"/>
        <w:rPr>
          <w:rFonts w:ascii="Arial" w:hAnsi="Arial" w:cs="Arial"/>
          <w:b/>
          <w:bCs/>
          <w:sz w:val="24"/>
          <w:szCs w:val="24"/>
        </w:rPr>
      </w:pPr>
      <w:r w:rsidRPr="372F2A27">
        <w:rPr>
          <w:rFonts w:ascii="Arial" w:hAnsi="Arial" w:cs="Arial"/>
          <w:b/>
          <w:bCs/>
          <w:sz w:val="24"/>
          <w:szCs w:val="24"/>
        </w:rPr>
        <w:t>WID/SID:</w:t>
      </w:r>
      <w:r>
        <w:tab/>
      </w:r>
      <w:proofErr w:type="spellStart"/>
      <w:r w:rsidR="6B8E8BB5" w:rsidRPr="372F2A27">
        <w:rPr>
          <w:rFonts w:ascii="Arial" w:hAnsi="Arial" w:cs="Arial"/>
          <w:b/>
          <w:bCs/>
          <w:sz w:val="24"/>
          <w:szCs w:val="24"/>
        </w:rPr>
        <w:t>NR_ENDC_SON_MDT_enh</w:t>
      </w:r>
      <w:proofErr w:type="spellEnd"/>
      <w:r w:rsidR="6B8E8BB5" w:rsidRPr="372F2A27">
        <w:rPr>
          <w:rFonts w:ascii="Arial" w:hAnsi="Arial" w:cs="Arial"/>
          <w:b/>
          <w:bCs/>
          <w:sz w:val="24"/>
          <w:szCs w:val="24"/>
        </w:rPr>
        <w:t>-Core</w:t>
      </w:r>
      <w:r w:rsidRPr="372F2A27">
        <w:rPr>
          <w:rFonts w:ascii="Arial" w:hAnsi="Arial" w:cs="Arial"/>
          <w:b/>
          <w:bCs/>
          <w:sz w:val="24"/>
          <w:szCs w:val="24"/>
        </w:rPr>
        <w:t xml:space="preserve"> - Release </w:t>
      </w:r>
      <w:r w:rsidR="742E55F2" w:rsidRPr="372F2A27">
        <w:rPr>
          <w:rFonts w:ascii="Arial" w:hAnsi="Arial" w:cs="Arial"/>
          <w:b/>
          <w:bCs/>
          <w:sz w:val="24"/>
          <w:szCs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786C3324" w14:textId="77777777" w:rsidR="00507BEB" w:rsidRDefault="0046518C" w:rsidP="00A209D6">
      <w:r>
        <w:t xml:space="preserve">RAN2 is currently discussing details on MRO scenarios and information to be logged as part of different reports </w:t>
      </w:r>
      <w:proofErr w:type="gramStart"/>
      <w:r>
        <w:t>in order to</w:t>
      </w:r>
      <w:proofErr w:type="gramEnd"/>
      <w:r>
        <w:t xml:space="preserve"> aid root cause analysis. </w:t>
      </w:r>
      <w:r w:rsidR="004E07CC">
        <w:t xml:space="preserve">Traditionally, MRO KPIs are collected from the network and analysed </w:t>
      </w:r>
      <w:proofErr w:type="gramStart"/>
      <w:r w:rsidR="004E07CC">
        <w:t>in order to</w:t>
      </w:r>
      <w:proofErr w:type="gramEnd"/>
      <w:r w:rsidR="004E07CC">
        <w:t xml:space="preserve"> find the best setting for the mobility parameters. The analysis usually assumes all statistics are equal and that the underlying UE capabilities and behaviour are uniform. </w:t>
      </w:r>
    </w:p>
    <w:p w14:paraId="31EC6E66" w14:textId="69F2E0AA" w:rsidR="007F2E08" w:rsidRDefault="004E07CC" w:rsidP="00A209D6">
      <w:r>
        <w:t>However, in some cases, there may be several type</w:t>
      </w:r>
      <w:r w:rsidR="00507BEB">
        <w:t>s</w:t>
      </w:r>
      <w:r>
        <w:t xml:space="preserve"> of UEs, operating under different conditions and assumptions which contribute to these KPIs and each such group may benefit from specific mobility parameters settings. </w:t>
      </w:r>
      <w:proofErr w:type="gramStart"/>
      <w:r>
        <w:t>So</w:t>
      </w:r>
      <w:proofErr w:type="gramEnd"/>
      <w:r>
        <w:t xml:space="preserve"> in order to find the best setting for each group, the KPI need to be first split into </w:t>
      </w:r>
      <w:r w:rsidR="00507BEB">
        <w:t>categories</w:t>
      </w:r>
      <w:r>
        <w:t xml:space="preserve"> based on the UEs that generated them. This is in some cases not possible without logging extra information in the RLF report or the Successful HO report. In this contribution offer considerations on two such grouping examples: </w:t>
      </w:r>
      <w:r w:rsidR="0046518C">
        <w:t xml:space="preserve"> the impact of reduced UE power du</w:t>
      </w:r>
      <w:r w:rsidR="51D6F158">
        <w:t>e</w:t>
      </w:r>
      <w:r w:rsidR="0046518C">
        <w:t xml:space="preserve"> to MPE (</w:t>
      </w:r>
      <w:r w:rsidR="00FC029D">
        <w:t>Maximum Permissible Exposure</w:t>
      </w:r>
      <w:r w:rsidR="0046518C">
        <w:t xml:space="preserve">) events </w:t>
      </w:r>
      <w:r>
        <w:t>and of multi-panel UEs in FR2.</w:t>
      </w:r>
    </w:p>
    <w:p w14:paraId="4F547731" w14:textId="513E13F0" w:rsidR="00A209D6" w:rsidRPr="006E13D1" w:rsidRDefault="00A209D6" w:rsidP="00B7538C">
      <w:pPr>
        <w:pStyle w:val="Heading1"/>
      </w:pPr>
      <w:r w:rsidRPr="006E13D1">
        <w:t>2</w:t>
      </w:r>
      <w:r w:rsidR="004E07CC">
        <w:t>.1</w:t>
      </w:r>
      <w:r w:rsidRPr="006E13D1">
        <w:tab/>
      </w:r>
      <w:r w:rsidR="004E07CC">
        <w:t>Impact of MPE on MRO</w:t>
      </w:r>
    </w:p>
    <w:p w14:paraId="20AA89C9" w14:textId="1669B2F0" w:rsidR="00FC029D" w:rsidRDefault="00FC029D" w:rsidP="00FC029D">
      <w:pPr>
        <w:jc w:val="both"/>
        <w:rPr>
          <w:lang w:val="en-US"/>
        </w:rPr>
      </w:pPr>
      <w:r>
        <w:rPr>
          <w:lang w:val="en-US"/>
        </w:rPr>
        <w:t xml:space="preserve">National regulators such as </w:t>
      </w:r>
      <w:r w:rsidRPr="00715A93">
        <w:rPr>
          <w:lang w:val="en-US"/>
        </w:rPr>
        <w:t>Federal Communications Commission</w:t>
      </w:r>
      <w:r>
        <w:rPr>
          <w:lang w:val="en-US"/>
        </w:rPr>
        <w:t xml:space="preserve"> (FCC) in the US limit the MPE of a human body for health reasons. This restriction limits the (average) uplink transmit power of mobile phones into the direction of the body, depending on the distance. The MPE limit set by FCC aims at restricting the UE Tx power over a defined </w:t>
      </w:r>
      <w:proofErr w:type="gramStart"/>
      <w:r>
        <w:rPr>
          <w:lang w:val="en-US"/>
        </w:rPr>
        <w:t>period of time</w:t>
      </w:r>
      <w:proofErr w:type="gramEnd"/>
      <w:r>
        <w:rPr>
          <w:lang w:val="en-US"/>
        </w:rPr>
        <w:t xml:space="preserve"> for limiting RF exposure on human body. </w:t>
      </w:r>
      <w:proofErr w:type="gramStart"/>
      <w:r>
        <w:rPr>
          <w:lang w:val="en-US"/>
        </w:rPr>
        <w:t>In order to</w:t>
      </w:r>
      <w:proofErr w:type="gramEnd"/>
      <w:r>
        <w:rPr>
          <w:lang w:val="en-US"/>
        </w:rPr>
        <w:t xml:space="preserve"> keep these limits, the mobile phones have to detect bodies (or obstacles in general) and determine their distance. This is typically done with sensors (</w:t>
      </w:r>
      <w:proofErr w:type="gramStart"/>
      <w:r>
        <w:rPr>
          <w:lang w:val="en-US"/>
        </w:rPr>
        <w:t>e.g.</w:t>
      </w:r>
      <w:proofErr w:type="gramEnd"/>
      <w:r>
        <w:rPr>
          <w:lang w:val="en-US"/>
        </w:rPr>
        <w:t xml:space="preserve"> infrared or radar). The MPE limits the EIRP (Equivalent Isotropic Radiated Power) of the mobile phone into the direction of the body/obstacle. </w:t>
      </w:r>
    </w:p>
    <w:p w14:paraId="18D865B2" w14:textId="4560E237" w:rsidR="00FC029D" w:rsidRPr="00FC029D" w:rsidRDefault="00FC029D" w:rsidP="00FC029D">
      <w:pPr>
        <w:jc w:val="both"/>
        <w:rPr>
          <w:lang w:val="en-US"/>
        </w:rPr>
      </w:pPr>
      <w:r w:rsidRPr="00FC029D">
        <w:rPr>
          <w:lang w:val="en-US"/>
        </w:rPr>
        <w:t>The main concern with MPE requirements is the large maximum power reduction (P-MPR) needed, which in turn increases the risk for RLFs, UL outage and larger delays in completing RACH. Thus</w:t>
      </w:r>
      <w:r w:rsidR="00BA79E9">
        <w:rPr>
          <w:lang w:val="en-US"/>
        </w:rPr>
        <w:t>,</w:t>
      </w:r>
      <w:r w:rsidRPr="00FC029D">
        <w:rPr>
          <w:lang w:val="en-US"/>
        </w:rPr>
        <w:t xml:space="preserve"> MPE enhancements are needed to mitigate these issues. Moreover, MPE events are sudden, unpredictable in nature and the UE behavior in response to them is very much vendor specific.</w:t>
      </w:r>
    </w:p>
    <w:p w14:paraId="1786C458" w14:textId="77777777" w:rsidR="006C1CB9" w:rsidRDefault="00FC029D" w:rsidP="00FC029D">
      <w:pPr>
        <w:jc w:val="both"/>
        <w:rPr>
          <w:lang w:val="en-US"/>
        </w:rPr>
      </w:pPr>
      <w:r w:rsidRPr="00FC029D">
        <w:rPr>
          <w:lang w:val="en-US"/>
        </w:rPr>
        <w:t>MPE is especially problematic if triggered at the cell edge before or during HO, when the connection to the network is most sensitive. Unless network is aware of the applied P-MPR, radio link failure or connection releases due to significant and unpredictable UE P-MPR may occur.</w:t>
      </w:r>
    </w:p>
    <w:p w14:paraId="72D00473" w14:textId="72C33019" w:rsidR="00FC029D" w:rsidRDefault="00FC029D" w:rsidP="00FC029D">
      <w:pPr>
        <w:jc w:val="both"/>
        <w:rPr>
          <w:lang w:val="en-US"/>
        </w:rPr>
      </w:pPr>
      <w:r w:rsidRPr="00FC029D">
        <w:rPr>
          <w:lang w:val="en-US"/>
        </w:rPr>
        <w:t xml:space="preserve"> If MPE is triggered before a measurement report was sent to the source cell, it may happen there are multiple retransmissions needed or, in the worst case, it does not reach the source cell at all. This may lead to a handover being triggered later/too late and cause an RLF on the Source cell. This will be mapped by MRO as a too late HO. </w:t>
      </w:r>
    </w:p>
    <w:p w14:paraId="02C1AA9E" w14:textId="3875660D" w:rsidR="00FC029D" w:rsidRDefault="00FC029D" w:rsidP="00FC029D">
      <w:pPr>
        <w:jc w:val="both"/>
        <w:rPr>
          <w:lang w:val="en-US"/>
        </w:rPr>
      </w:pPr>
      <w:r w:rsidRPr="00FC029D">
        <w:rPr>
          <w:lang w:val="en-US"/>
        </w:rPr>
        <w:t>If MPE is triggered after the HO command was sent, when UE can no longer communicate with the Source cell and needs to access the Target cell, it may experience a delayed RACH which may lead to a handover failure (HOF). This will later on be mapped by MRO to a too early HO or wrong cell HO. Note that the MPE event survives the handover (</w:t>
      </w:r>
      <w:proofErr w:type="gramStart"/>
      <w:r w:rsidRPr="00FC029D">
        <w:rPr>
          <w:lang w:val="en-US"/>
        </w:rPr>
        <w:t>i.e.</w:t>
      </w:r>
      <w:proofErr w:type="gramEnd"/>
      <w:r w:rsidRPr="00FC029D">
        <w:rPr>
          <w:lang w:val="en-US"/>
        </w:rPr>
        <w:t xml:space="preserve"> the P-MPR is also applied to the target cell) if the target cell is on the same panel as the source. Otherwise, even though the UE </w:t>
      </w:r>
      <w:proofErr w:type="gramStart"/>
      <w:r w:rsidRPr="00FC029D">
        <w:rPr>
          <w:lang w:val="en-US"/>
        </w:rPr>
        <w:t>is capable of providing</w:t>
      </w:r>
      <w:proofErr w:type="gramEnd"/>
      <w:r w:rsidRPr="00FC029D">
        <w:rPr>
          <w:lang w:val="en-US"/>
        </w:rPr>
        <w:t xml:space="preserve"> MPE report, the report is lost in the target cell.</w:t>
      </w:r>
    </w:p>
    <w:p w14:paraId="2151EA6B" w14:textId="323FB117" w:rsidR="00FC029D" w:rsidRDefault="00FC029D" w:rsidP="00FC029D">
      <w:pPr>
        <w:jc w:val="both"/>
        <w:rPr>
          <w:b/>
          <w:bCs/>
          <w:lang w:val="en-US"/>
        </w:rPr>
      </w:pPr>
      <w:r w:rsidRPr="00FC029D">
        <w:rPr>
          <w:b/>
          <w:bCs/>
          <w:lang w:val="en-US"/>
        </w:rPr>
        <w:t xml:space="preserve">Observation </w:t>
      </w:r>
      <w:r w:rsidR="00BA79E9">
        <w:rPr>
          <w:b/>
          <w:bCs/>
          <w:lang w:val="en-US"/>
        </w:rPr>
        <w:t>1</w:t>
      </w:r>
      <w:r w:rsidRPr="00FC029D">
        <w:rPr>
          <w:b/>
          <w:bCs/>
          <w:lang w:val="en-US"/>
        </w:rPr>
        <w:t xml:space="preserve">: MPE can have a clear impact on the UE connectivity and on MRO KPIs such as RLFs and HOFs. </w:t>
      </w:r>
    </w:p>
    <w:p w14:paraId="773084E3" w14:textId="680F899C" w:rsidR="00BA79E9" w:rsidRDefault="00BA79E9" w:rsidP="00BA79E9">
      <w:pPr>
        <w:jc w:val="both"/>
        <w:rPr>
          <w:b/>
          <w:bCs/>
          <w:lang w:val="en-US"/>
        </w:rPr>
      </w:pPr>
      <w:r w:rsidRPr="00FC029D">
        <w:rPr>
          <w:b/>
          <w:bCs/>
          <w:lang w:val="en-US"/>
        </w:rPr>
        <w:t xml:space="preserve">Observation </w:t>
      </w:r>
      <w:r>
        <w:rPr>
          <w:b/>
          <w:bCs/>
          <w:lang w:val="en-US"/>
        </w:rPr>
        <w:t>2</w:t>
      </w:r>
      <w:r w:rsidRPr="00FC029D">
        <w:rPr>
          <w:b/>
          <w:bCs/>
          <w:lang w:val="en-US"/>
        </w:rPr>
        <w:t xml:space="preserve">: MPE </w:t>
      </w:r>
      <w:r>
        <w:rPr>
          <w:b/>
          <w:bCs/>
          <w:lang w:val="en-US"/>
        </w:rPr>
        <w:t>report can be lost during Handover</w:t>
      </w:r>
      <w:r w:rsidRPr="00FC029D">
        <w:rPr>
          <w:b/>
          <w:bCs/>
          <w:lang w:val="en-US"/>
        </w:rPr>
        <w:t xml:space="preserve">. </w:t>
      </w:r>
    </w:p>
    <w:p w14:paraId="79E39693" w14:textId="0DCDB541" w:rsidR="00FC029D" w:rsidRDefault="00BA79E9" w:rsidP="00FC029D">
      <w:pPr>
        <w:jc w:val="both"/>
        <w:rPr>
          <w:lang w:val="en-US"/>
        </w:rPr>
      </w:pPr>
      <w:r w:rsidRPr="372F2A27">
        <w:rPr>
          <w:lang w:val="en-US"/>
        </w:rPr>
        <w:lastRenderedPageBreak/>
        <w:t xml:space="preserve">MPE report have the same meaning as PHR MAC CE, that is already supported by Trace </w:t>
      </w:r>
      <w:r w:rsidR="001600AA" w:rsidRPr="372F2A27">
        <w:rPr>
          <w:lang w:val="en-US"/>
        </w:rPr>
        <w:t>as MDT report</w:t>
      </w:r>
      <w:r w:rsidR="26B9E955" w:rsidRPr="372F2A27">
        <w:rPr>
          <w:lang w:val="en-US"/>
        </w:rPr>
        <w:t xml:space="preserve"> (</w:t>
      </w:r>
      <w:proofErr w:type="gramStart"/>
      <w:r w:rsidR="47EBA8DE" w:rsidRPr="372F2A27">
        <w:rPr>
          <w:lang w:val="en-US"/>
        </w:rPr>
        <w:t>i</w:t>
      </w:r>
      <w:r w:rsidR="26B9E955" w:rsidRPr="372F2A27">
        <w:rPr>
          <w:lang w:val="en-US"/>
        </w:rPr>
        <w:t>.e.</w:t>
      </w:r>
      <w:proofErr w:type="gramEnd"/>
      <w:r w:rsidR="26B9E955" w:rsidRPr="372F2A27">
        <w:rPr>
          <w:lang w:val="en-US"/>
        </w:rPr>
        <w:t xml:space="preserve"> PHR reporting, c</w:t>
      </w:r>
      <w:r w:rsidR="1AF520D1" w:rsidRPr="372F2A27">
        <w:rPr>
          <w:lang w:val="en-US"/>
        </w:rPr>
        <w:t xml:space="preserve">arried as </w:t>
      </w:r>
      <w:r w:rsidR="26B9E955" w:rsidRPr="372F2A27">
        <w:rPr>
          <w:lang w:val="en-US"/>
        </w:rPr>
        <w:t>MAC signaling is conveyed in Trace Records for MDT purpos</w:t>
      </w:r>
      <w:r w:rsidR="473F1665" w:rsidRPr="372F2A27">
        <w:rPr>
          <w:lang w:val="en-US"/>
        </w:rPr>
        <w:t>es).</w:t>
      </w:r>
      <w:r w:rsidR="001600AA" w:rsidRPr="372F2A27">
        <w:rPr>
          <w:lang w:val="en-US"/>
        </w:rPr>
        <w:t xml:space="preserve"> </w:t>
      </w:r>
      <w:r w:rsidR="00FC029D" w:rsidRPr="372F2A27">
        <w:rPr>
          <w:lang w:val="en-US"/>
        </w:rPr>
        <w:t>However, MPE related information is not currently part of any mobility related reporting.</w:t>
      </w:r>
      <w:r w:rsidRPr="372F2A27">
        <w:rPr>
          <w:lang w:val="en-US"/>
        </w:rPr>
        <w:t xml:space="preserve"> It is not provided to the target cell, either.</w:t>
      </w:r>
      <w:r w:rsidR="00FC029D" w:rsidRPr="372F2A27">
        <w:rPr>
          <w:lang w:val="en-US"/>
        </w:rPr>
        <w:t xml:space="preserve"> As such, the network can no distinguish between legitimate mobility issues and issues cause by MPE. This can result in unnecessary and/or wrong changed in mobility settings that will not have the desired effect.</w:t>
      </w:r>
    </w:p>
    <w:p w14:paraId="3546DE12" w14:textId="58C50DFC" w:rsidR="00FC029D" w:rsidRPr="00FC029D" w:rsidRDefault="00FC029D" w:rsidP="00FC029D">
      <w:pPr>
        <w:jc w:val="both"/>
        <w:rPr>
          <w:b/>
          <w:bCs/>
          <w:lang w:val="en-US"/>
        </w:rPr>
      </w:pPr>
      <w:r w:rsidRPr="00FC029D">
        <w:rPr>
          <w:b/>
          <w:bCs/>
          <w:lang w:val="en-US"/>
        </w:rPr>
        <w:t xml:space="preserve">Proposal 1: Introduce MPE related information in mobility related reporting to enable correct root cause analysis by the network. </w:t>
      </w:r>
    </w:p>
    <w:p w14:paraId="763DD1FD" w14:textId="3E538320" w:rsidR="006404EC" w:rsidRDefault="00B36208" w:rsidP="006404EC">
      <w:pPr>
        <w:pStyle w:val="Heading2"/>
        <w:ind w:left="0" w:firstLine="0"/>
        <w:rPr>
          <w:lang w:val="en-US"/>
        </w:rPr>
      </w:pPr>
      <w:r>
        <w:rPr>
          <w:lang w:val="en-US"/>
        </w:rPr>
        <w:t>2.</w:t>
      </w:r>
      <w:r w:rsidR="004E07CC">
        <w:rPr>
          <w:lang w:val="en-US"/>
        </w:rPr>
        <w:t>2</w:t>
      </w:r>
      <w:r>
        <w:rPr>
          <w:lang w:val="en-US"/>
        </w:rPr>
        <w:t xml:space="preserve"> </w:t>
      </w:r>
      <w:r w:rsidR="004E07CC">
        <w:rPr>
          <w:lang w:val="en-US"/>
        </w:rPr>
        <w:t>Impact of</w:t>
      </w:r>
      <w:r>
        <w:rPr>
          <w:lang w:val="en-US"/>
        </w:rPr>
        <w:t xml:space="preserve"> Multi-Panel UE in FR2</w:t>
      </w:r>
      <w:r w:rsidR="004E07CC">
        <w:rPr>
          <w:lang w:val="en-US"/>
        </w:rPr>
        <w:t xml:space="preserve"> on MRO</w:t>
      </w:r>
    </w:p>
    <w:p w14:paraId="7440DBB5" w14:textId="0663F09A" w:rsidR="00B36208" w:rsidRDefault="00B36208" w:rsidP="006404EC">
      <w:r w:rsidRPr="006404EC">
        <w:rPr>
          <w:lang w:val="en-US"/>
        </w:rPr>
        <w:t>All FR2 UEs are equipped with multiple panels with directive gain</w:t>
      </w:r>
      <w:r>
        <w:rPr>
          <w:lang w:val="en-US"/>
        </w:rPr>
        <w:t xml:space="preserve"> for transmission and reception. In contrast to </w:t>
      </w:r>
      <w:r w:rsidR="00DD6067">
        <w:rPr>
          <w:lang w:val="en-US"/>
        </w:rPr>
        <w:t>o</w:t>
      </w:r>
      <w:r>
        <w:rPr>
          <w:lang w:val="en-US"/>
        </w:rPr>
        <w:t xml:space="preserve">mni-directional UE in NR FR1, random events such as user rotations and hand blockages may have </w:t>
      </w:r>
      <w:r w:rsidR="00C8464A">
        <w:rPr>
          <w:lang w:val="en-US"/>
        </w:rPr>
        <w:t>much more</w:t>
      </w:r>
      <w:r>
        <w:rPr>
          <w:lang w:val="en-US"/>
        </w:rPr>
        <w:t xml:space="preserve"> impact on mobility performance of Multi-panel UEs (MPUEs) and </w:t>
      </w:r>
      <w:r w:rsidR="008A732E">
        <w:rPr>
          <w:lang w:val="en-US"/>
        </w:rPr>
        <w:t>in turn</w:t>
      </w:r>
      <w:r>
        <w:rPr>
          <w:lang w:val="en-US"/>
        </w:rPr>
        <w:t xml:space="preserve"> on the mobility related KPIs that are collected by MRO. </w:t>
      </w:r>
      <w:r w:rsidRPr="006404EC">
        <w:t>The underlying assumption for MRO is that the mobility KPI values collected within a KPI collection period is (almost) stationary</w:t>
      </w:r>
      <w:r>
        <w:t xml:space="preserve"> which is not necessarily the case for MPUEs that are subject to random events. Herein, we differentiate between two types of MPUE in FR2:</w:t>
      </w:r>
    </w:p>
    <w:p w14:paraId="2AC70E0E" w14:textId="0D41024E" w:rsidR="00B36208" w:rsidRPr="006404EC" w:rsidRDefault="00B36208" w:rsidP="00B36208">
      <w:pPr>
        <w:numPr>
          <w:ilvl w:val="0"/>
          <w:numId w:val="18"/>
        </w:numPr>
        <w:rPr>
          <w:lang w:val="en-US"/>
        </w:rPr>
      </w:pPr>
      <w:r w:rsidRPr="006404EC">
        <w:t>Type 1</w:t>
      </w:r>
      <w:r w:rsidR="007A7B8D">
        <w:t xml:space="preserve"> MPUE</w:t>
      </w:r>
      <w:r w:rsidRPr="006404EC">
        <w:t>: MPUEs whose rotations/</w:t>
      </w:r>
      <w:r w:rsidRPr="002E25FA">
        <w:t xml:space="preserve">blockages are </w:t>
      </w:r>
      <w:r w:rsidRPr="00C8464A">
        <w:t>random</w:t>
      </w:r>
      <w:r w:rsidRPr="002E25FA">
        <w:t xml:space="preserve"> and </w:t>
      </w:r>
      <w:r w:rsidRPr="00C8464A">
        <w:t>de-coupled</w:t>
      </w:r>
      <w:r w:rsidRPr="002E25FA">
        <w:t xml:space="preserve"> </w:t>
      </w:r>
      <w:r w:rsidRPr="00C8464A">
        <w:t>from the movement of the</w:t>
      </w:r>
      <w:r w:rsidRPr="002E25FA">
        <w:t xml:space="preserve"> </w:t>
      </w:r>
      <w:r w:rsidRPr="00C8464A">
        <w:t>device/user holding</w:t>
      </w:r>
      <w:r w:rsidRPr="002E25FA">
        <w:t xml:space="preserve"> </w:t>
      </w:r>
      <w:r w:rsidRPr="00C8464A">
        <w:t xml:space="preserve">the </w:t>
      </w:r>
      <w:r w:rsidR="00DC6121">
        <w:t>MP</w:t>
      </w:r>
      <w:r w:rsidRPr="00C8464A">
        <w:t>UE</w:t>
      </w:r>
      <w:r w:rsidRPr="002E25FA">
        <w:t xml:space="preserve">. One example of </w:t>
      </w:r>
      <w:r w:rsidR="00CF4946">
        <w:t>T</w:t>
      </w:r>
      <w:r w:rsidRPr="002E25FA">
        <w:t>ype 1</w:t>
      </w:r>
      <w:r w:rsidR="00CF4946">
        <w:t xml:space="preserve"> MPUE</w:t>
      </w:r>
      <w:r w:rsidRPr="002E25FA">
        <w:t xml:space="preserve"> is </w:t>
      </w:r>
      <w:proofErr w:type="gramStart"/>
      <w:r w:rsidRPr="002E25FA">
        <w:t>e.g.</w:t>
      </w:r>
      <w:proofErr w:type="gramEnd"/>
      <w:r w:rsidRPr="002E25FA">
        <w:t xml:space="preserve"> </w:t>
      </w:r>
      <w:r w:rsidRPr="00C8464A">
        <w:t>handheld UE</w:t>
      </w:r>
      <w:r w:rsidRPr="002E25FA">
        <w:t xml:space="preserve"> whose radio reception might change sporadically and randomly if rotated or got obstructed by hand</w:t>
      </w:r>
      <w:r w:rsidRPr="006404EC">
        <w:t xml:space="preserve"> or other use body parts; resulting in less-stationary mobility KPIs which</w:t>
      </w:r>
      <w:r>
        <w:t xml:space="preserve"> can impact the gains achieved from MRO.</w:t>
      </w:r>
    </w:p>
    <w:p w14:paraId="3172EC27" w14:textId="422926F3" w:rsidR="00B36208" w:rsidRPr="00D15C14" w:rsidRDefault="00B36208" w:rsidP="00B36208">
      <w:pPr>
        <w:numPr>
          <w:ilvl w:val="0"/>
          <w:numId w:val="18"/>
        </w:numPr>
        <w:rPr>
          <w:lang w:val="en-US"/>
        </w:rPr>
      </w:pPr>
      <w:r w:rsidRPr="006404EC">
        <w:t>Type 2</w:t>
      </w:r>
      <w:r w:rsidR="00991C16">
        <w:t xml:space="preserve"> MPUE</w:t>
      </w:r>
      <w:r w:rsidRPr="006404EC">
        <w:t xml:space="preserve">: MPUEs whose rotations/blockages are predictable </w:t>
      </w:r>
      <w:r w:rsidRPr="002E25FA">
        <w:t xml:space="preserve">and </w:t>
      </w:r>
      <w:r w:rsidRPr="00C8464A">
        <w:t xml:space="preserve">coupled with the movement of the device comprising the </w:t>
      </w:r>
      <w:r w:rsidR="00E363C3">
        <w:t>MP</w:t>
      </w:r>
      <w:r w:rsidRPr="00C8464A">
        <w:t xml:space="preserve">UE or where the </w:t>
      </w:r>
      <w:r w:rsidR="00E363C3">
        <w:t>MP</w:t>
      </w:r>
      <w:r w:rsidRPr="00C8464A">
        <w:t>UE is attached to.</w:t>
      </w:r>
      <w:r w:rsidRPr="002E25FA">
        <w:t xml:space="preserve"> One example of </w:t>
      </w:r>
      <w:r w:rsidR="00CF4946">
        <w:t>T</w:t>
      </w:r>
      <w:r w:rsidRPr="002E25FA">
        <w:t xml:space="preserve">ype 2 </w:t>
      </w:r>
      <w:r w:rsidR="00CF4946">
        <w:t xml:space="preserve">MPUE </w:t>
      </w:r>
      <w:r w:rsidRPr="002E25FA">
        <w:t xml:space="preserve">is e.g., </w:t>
      </w:r>
      <w:r w:rsidR="00736B51">
        <w:t>MP</w:t>
      </w:r>
      <w:r w:rsidRPr="002E25FA">
        <w:t xml:space="preserve">UE </w:t>
      </w:r>
      <w:r w:rsidRPr="00C8464A">
        <w:t>mounted</w:t>
      </w:r>
      <w:r w:rsidRPr="002E25FA">
        <w:t xml:space="preserve"> on </w:t>
      </w:r>
      <w:r w:rsidRPr="00C8464A">
        <w:t>a device/vehicle/car/drone/Automated Guided Vehicle (AGV</w:t>
      </w:r>
      <w:r w:rsidRPr="002E25FA">
        <w:t xml:space="preserve">). </w:t>
      </w:r>
      <w:r w:rsidR="0008463A">
        <w:t>Herein, i</w:t>
      </w:r>
      <w:r w:rsidRPr="002E25FA">
        <w:t xml:space="preserve">f the radio link connection of the </w:t>
      </w:r>
      <w:r w:rsidR="00732D7E">
        <w:t>MP</w:t>
      </w:r>
      <w:r w:rsidRPr="002E25FA">
        <w:t>UE on the vehicle experiences a failure when the vehicle turns around a street corner</w:t>
      </w:r>
      <w:r w:rsidRPr="006404EC">
        <w:t xml:space="preserve">, then it is expected all other vehicles crossing the same street corner to have the same mobility failure. This results in stationary mobility KPIs which </w:t>
      </w:r>
      <w:r>
        <w:t xml:space="preserve">is one of the </w:t>
      </w:r>
      <w:r w:rsidR="002E25FA">
        <w:t>pre-requisites</w:t>
      </w:r>
      <w:r>
        <w:t xml:space="preserve"> for</w:t>
      </w:r>
      <w:r w:rsidR="00E35A31">
        <w:t xml:space="preserve"> </w:t>
      </w:r>
      <w:r w:rsidRPr="006404EC">
        <w:t>MRO.</w:t>
      </w:r>
    </w:p>
    <w:p w14:paraId="63ACD425" w14:textId="735AA3C0" w:rsidR="00F94A77" w:rsidRDefault="00F94A77" w:rsidP="006404EC">
      <w:r>
        <w:t>Currently, the network is not able to distinguish between MPUE Type 1 and Type 2 nor their corresponding mobility KPIs.</w:t>
      </w:r>
    </w:p>
    <w:p w14:paraId="4105BCBD" w14:textId="60D7692B" w:rsidR="00F94A77" w:rsidRPr="00C8464A" w:rsidRDefault="00F94A77" w:rsidP="006404EC">
      <w:pPr>
        <w:rPr>
          <w:b/>
          <w:bCs/>
        </w:rPr>
      </w:pPr>
      <w:r w:rsidRPr="00C8464A">
        <w:rPr>
          <w:b/>
          <w:bCs/>
        </w:rPr>
        <w:t xml:space="preserve">Observation </w:t>
      </w:r>
      <w:r w:rsidR="004E07CC">
        <w:rPr>
          <w:b/>
          <w:bCs/>
        </w:rPr>
        <w:t>3</w:t>
      </w:r>
      <w:r w:rsidRPr="00C8464A">
        <w:rPr>
          <w:b/>
          <w:bCs/>
        </w:rPr>
        <w:t>: Currently, the network does not have any means to distinguish between the mobility KPIs of MPUE Type 1 and Type 2</w:t>
      </w:r>
      <w:r w:rsidR="00D230EE">
        <w:rPr>
          <w:b/>
          <w:bCs/>
        </w:rPr>
        <w:t xml:space="preserve"> in NR FR2.</w:t>
      </w:r>
    </w:p>
    <w:p w14:paraId="501C94EC" w14:textId="4EC30F1C" w:rsidR="00ED2F40" w:rsidRDefault="006404EC" w:rsidP="006404EC">
      <w:r w:rsidRPr="006404EC">
        <w:rPr>
          <w:lang w:val="en-US"/>
        </w:rPr>
        <w:t xml:space="preserve">Collecting the values of KPIs from all MPUEs (type 1 and type 2) in FR2 may </w:t>
      </w:r>
      <w:r w:rsidRPr="00C8464A">
        <w:rPr>
          <w:lang w:val="en-US"/>
        </w:rPr>
        <w:t>lead to degradation of</w:t>
      </w:r>
      <w:r w:rsidRPr="006404EC">
        <w:rPr>
          <w:lang w:val="en-US"/>
        </w:rPr>
        <w:t xml:space="preserve"> MRO performance as KPI values </w:t>
      </w:r>
      <w:r w:rsidR="002E25FA">
        <w:rPr>
          <w:lang w:val="en-US"/>
        </w:rPr>
        <w:t>for MPUEs Type 1 may not be as stationary (due to random events) as th</w:t>
      </w:r>
      <w:r w:rsidR="00E31861">
        <w:rPr>
          <w:lang w:val="en-US"/>
        </w:rPr>
        <w:t>ose</w:t>
      </w:r>
      <w:r w:rsidR="002E25FA">
        <w:rPr>
          <w:lang w:val="en-US"/>
        </w:rPr>
        <w:t xml:space="preserve"> for MPUE Type 2. Th</w:t>
      </w:r>
      <w:r w:rsidR="00E35A31">
        <w:rPr>
          <w:lang w:val="en-US"/>
        </w:rPr>
        <w:t>erefore</w:t>
      </w:r>
      <w:r w:rsidR="002E25FA">
        <w:rPr>
          <w:lang w:val="en-US"/>
        </w:rPr>
        <w:t>, it is sensible t</w:t>
      </w:r>
      <w:r w:rsidR="0056384C">
        <w:rPr>
          <w:lang w:val="en-US"/>
        </w:rPr>
        <w:t xml:space="preserve">o enable the </w:t>
      </w:r>
      <w:r w:rsidR="002E25FA">
        <w:rPr>
          <w:lang w:val="en-US"/>
        </w:rPr>
        <w:t xml:space="preserve">network </w:t>
      </w:r>
      <w:r w:rsidR="0056384C">
        <w:rPr>
          <w:lang w:val="en-US"/>
        </w:rPr>
        <w:t xml:space="preserve">to </w:t>
      </w:r>
      <w:r w:rsidR="002E25FA">
        <w:rPr>
          <w:lang w:val="en-US"/>
        </w:rPr>
        <w:t>run different MRO instances for these two groups of UE</w:t>
      </w:r>
      <w:r w:rsidR="00180404">
        <w:rPr>
          <w:lang w:val="en-US"/>
        </w:rPr>
        <w:t>s</w:t>
      </w:r>
      <w:r w:rsidR="002E25FA">
        <w:rPr>
          <w:lang w:val="en-US"/>
        </w:rPr>
        <w:t xml:space="preserve"> such that the handover parameters of MPUE Type 2 are optimized separate</w:t>
      </w:r>
      <w:r w:rsidR="00E35A31">
        <w:rPr>
          <w:lang w:val="en-US"/>
        </w:rPr>
        <w:t>ly</w:t>
      </w:r>
      <w:r w:rsidR="002E25FA">
        <w:rPr>
          <w:lang w:val="en-US"/>
        </w:rPr>
        <w:t xml:space="preserve"> from those for MPUE Type 1. </w:t>
      </w:r>
      <w:r w:rsidR="00E435FD">
        <w:rPr>
          <w:lang w:val="en-US"/>
        </w:rPr>
        <w:t>For this</w:t>
      </w:r>
      <w:r w:rsidR="00D83463">
        <w:rPr>
          <w:lang w:val="en-US"/>
        </w:rPr>
        <w:t xml:space="preserve">, </w:t>
      </w:r>
      <w:r w:rsidR="00E435FD">
        <w:rPr>
          <w:lang w:val="en-US"/>
        </w:rPr>
        <w:t>it is proposed that the UE reports to the network whe</w:t>
      </w:r>
      <w:r w:rsidR="00BE74F5">
        <w:rPr>
          <w:lang w:val="en-US"/>
        </w:rPr>
        <w:t>ther</w:t>
      </w:r>
      <w:r w:rsidR="00E435FD">
        <w:rPr>
          <w:lang w:val="en-US"/>
        </w:rPr>
        <w:t xml:space="preserve"> it is MPUE </w:t>
      </w:r>
      <w:r w:rsidR="00D83463">
        <w:rPr>
          <w:lang w:val="en-US"/>
        </w:rPr>
        <w:t xml:space="preserve">Type </w:t>
      </w:r>
      <w:r w:rsidR="006D09FF">
        <w:rPr>
          <w:lang w:val="en-US"/>
        </w:rPr>
        <w:t xml:space="preserve">1 </w:t>
      </w:r>
      <w:r w:rsidR="00E435FD">
        <w:rPr>
          <w:lang w:val="en-US"/>
        </w:rPr>
        <w:t>or Type 2.</w:t>
      </w:r>
    </w:p>
    <w:p w14:paraId="30B4E90F" w14:textId="77777777" w:rsidR="00CB53FA" w:rsidRPr="001849D2" w:rsidRDefault="00CB53FA" w:rsidP="00CB53FA">
      <w:pPr>
        <w:rPr>
          <w:b/>
          <w:bCs/>
        </w:rPr>
      </w:pPr>
      <w:r>
        <w:rPr>
          <w:b/>
          <w:bCs/>
        </w:rPr>
        <w:t>Proposal</w:t>
      </w:r>
      <w:r w:rsidRPr="00D00452">
        <w:rPr>
          <w:b/>
          <w:bCs/>
        </w:rPr>
        <w:t xml:space="preserve"> </w:t>
      </w:r>
      <w:r>
        <w:rPr>
          <w:b/>
          <w:bCs/>
        </w:rPr>
        <w:t>2: Introduce MPUE type related information in mobility related reporting to apply group-based MRO for different MPUE types (</w:t>
      </w:r>
      <w:proofErr w:type="gramStart"/>
      <w:r>
        <w:rPr>
          <w:b/>
          <w:bCs/>
        </w:rPr>
        <w:t>e.g.</w:t>
      </w:r>
      <w:proofErr w:type="gramEnd"/>
      <w:r>
        <w:rPr>
          <w:b/>
          <w:bCs/>
        </w:rPr>
        <w:t xml:space="preserve"> type1 or type 2). FFS on the signalling.</w:t>
      </w:r>
    </w:p>
    <w:p w14:paraId="5FF2457F" w14:textId="3E92D33E" w:rsidR="00A209D6" w:rsidRDefault="00A209D6" w:rsidP="00A209D6">
      <w:pPr>
        <w:pStyle w:val="Heading1"/>
      </w:pPr>
      <w:r w:rsidRPr="006E13D1">
        <w:t>4</w:t>
      </w:r>
      <w:r w:rsidRPr="006E13D1">
        <w:tab/>
      </w:r>
      <w:r w:rsidR="008C3057">
        <w:t>Conclusion</w:t>
      </w:r>
    </w:p>
    <w:p w14:paraId="7B7240A4" w14:textId="7934F3A9" w:rsidR="004F73A7" w:rsidRPr="006E13D1" w:rsidRDefault="004F73A7" w:rsidP="00A209D6">
      <w:r>
        <w:t>This document has made</w:t>
      </w:r>
      <w:r w:rsidR="004F4540">
        <w:t xml:space="preserve"> the following observations</w:t>
      </w:r>
      <w:r w:rsidR="00D07E01">
        <w:t xml:space="preserve"> and proposals</w:t>
      </w:r>
      <w:r w:rsidR="004F4540">
        <w:t>:</w:t>
      </w:r>
    </w:p>
    <w:p w14:paraId="72012180" w14:textId="5B52CAB0" w:rsidR="0042758C" w:rsidRDefault="0042758C" w:rsidP="0042758C">
      <w:pPr>
        <w:jc w:val="both"/>
        <w:rPr>
          <w:b/>
          <w:bCs/>
          <w:lang w:val="en-US"/>
        </w:rPr>
      </w:pPr>
      <w:r w:rsidRPr="00FC029D">
        <w:rPr>
          <w:b/>
          <w:bCs/>
          <w:lang w:val="en-US"/>
        </w:rPr>
        <w:t>Observation 1: MPE can have a clear impact on the UE connectivity and on MRO KPIs such as RLFs and HOFs.</w:t>
      </w:r>
    </w:p>
    <w:p w14:paraId="57784B22" w14:textId="77777777" w:rsidR="007E3B6E" w:rsidRDefault="007E3B6E" w:rsidP="007E3B6E">
      <w:pPr>
        <w:jc w:val="both"/>
        <w:rPr>
          <w:b/>
          <w:bCs/>
          <w:lang w:val="en-US"/>
        </w:rPr>
      </w:pPr>
      <w:r w:rsidRPr="00FC029D">
        <w:rPr>
          <w:b/>
          <w:bCs/>
          <w:lang w:val="en-US"/>
        </w:rPr>
        <w:t xml:space="preserve">Observation </w:t>
      </w:r>
      <w:r>
        <w:rPr>
          <w:b/>
          <w:bCs/>
          <w:lang w:val="en-US"/>
        </w:rPr>
        <w:t>2</w:t>
      </w:r>
      <w:r w:rsidRPr="00FC029D">
        <w:rPr>
          <w:b/>
          <w:bCs/>
          <w:lang w:val="en-US"/>
        </w:rPr>
        <w:t xml:space="preserve">: MPE </w:t>
      </w:r>
      <w:r>
        <w:rPr>
          <w:b/>
          <w:bCs/>
          <w:lang w:val="en-US"/>
        </w:rPr>
        <w:t>report can be lost during Handover</w:t>
      </w:r>
      <w:r w:rsidRPr="00FC029D">
        <w:rPr>
          <w:b/>
          <w:bCs/>
          <w:lang w:val="en-US"/>
        </w:rPr>
        <w:t xml:space="preserve">. </w:t>
      </w:r>
    </w:p>
    <w:p w14:paraId="1236B2DC" w14:textId="3FFF1BB7" w:rsidR="007E3B6E" w:rsidRPr="001849D2" w:rsidRDefault="007E3B6E" w:rsidP="00AF2D8A">
      <w:pPr>
        <w:rPr>
          <w:b/>
          <w:bCs/>
        </w:rPr>
      </w:pPr>
      <w:r w:rsidRPr="00D00452">
        <w:rPr>
          <w:b/>
          <w:bCs/>
        </w:rPr>
        <w:t>Observation 3</w:t>
      </w:r>
      <w:r>
        <w:t xml:space="preserve">: </w:t>
      </w:r>
      <w:r w:rsidRPr="00D00452">
        <w:rPr>
          <w:b/>
          <w:bCs/>
        </w:rPr>
        <w:t>The network does not have any means to distinguish different user types and collecting the values of KPIs from all MPUEs (type 1 and type 2) in FR2 may lead to degradation of MRO performance or to convergence issues as KPI values of type 1 UEs is not highly stationary.</w:t>
      </w:r>
    </w:p>
    <w:p w14:paraId="306F1C1E" w14:textId="40FFE406" w:rsidR="0042758C" w:rsidRDefault="0042758C" w:rsidP="0042758C">
      <w:pPr>
        <w:jc w:val="both"/>
        <w:rPr>
          <w:b/>
          <w:bCs/>
          <w:lang w:val="en-US"/>
        </w:rPr>
      </w:pPr>
      <w:r w:rsidRPr="00FC029D">
        <w:rPr>
          <w:b/>
          <w:bCs/>
          <w:lang w:val="en-US"/>
        </w:rPr>
        <w:t xml:space="preserve">Proposal 1: Introduce MPE related information in mobility related reporting to enable correct root cause analysis by the network. </w:t>
      </w:r>
    </w:p>
    <w:p w14:paraId="0732535E" w14:textId="77777777" w:rsidR="00CB53FA" w:rsidRPr="001849D2" w:rsidRDefault="00CB53FA" w:rsidP="00CB53FA">
      <w:pPr>
        <w:rPr>
          <w:b/>
          <w:bCs/>
        </w:rPr>
      </w:pPr>
      <w:r>
        <w:rPr>
          <w:b/>
          <w:bCs/>
        </w:rPr>
        <w:t>Proposal</w:t>
      </w:r>
      <w:r w:rsidRPr="00D00452">
        <w:rPr>
          <w:b/>
          <w:bCs/>
        </w:rPr>
        <w:t xml:space="preserve"> </w:t>
      </w:r>
      <w:r>
        <w:rPr>
          <w:b/>
          <w:bCs/>
        </w:rPr>
        <w:t>2: Introduce MPUE type related information in mobility related reporting to apply group-based MRO for different MPUE types (</w:t>
      </w:r>
      <w:proofErr w:type="gramStart"/>
      <w:r>
        <w:rPr>
          <w:b/>
          <w:bCs/>
        </w:rPr>
        <w:t>e.g.</w:t>
      </w:r>
      <w:proofErr w:type="gramEnd"/>
      <w:r>
        <w:rPr>
          <w:b/>
          <w:bCs/>
        </w:rPr>
        <w:t xml:space="preserve"> type1 or type 2). FFS on the signalling.</w:t>
      </w:r>
    </w:p>
    <w:sectPr w:rsidR="00CB53FA" w:rsidRPr="001849D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16F553" w14:textId="77777777" w:rsidR="00CA005E" w:rsidRDefault="00CA005E">
      <w:r>
        <w:separator/>
      </w:r>
    </w:p>
  </w:endnote>
  <w:endnote w:type="continuationSeparator" w:id="0">
    <w:p w14:paraId="42765716" w14:textId="77777777" w:rsidR="00CA005E" w:rsidRDefault="00CA005E">
      <w:r>
        <w:continuationSeparator/>
      </w:r>
    </w:p>
  </w:endnote>
  <w:endnote w:type="continuationNotice" w:id="1">
    <w:p w14:paraId="4B06C48D" w14:textId="77777777" w:rsidR="00CA005E" w:rsidRDefault="00CA00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YaHei">
    <w:altName w:val="微软雅黑"/>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433289" w:rsidRDefault="004332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433289" w:rsidRDefault="004332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433289" w:rsidRDefault="004332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4A143B" w14:textId="77777777" w:rsidR="00CA005E" w:rsidRDefault="00CA005E">
      <w:r>
        <w:separator/>
      </w:r>
    </w:p>
  </w:footnote>
  <w:footnote w:type="continuationSeparator" w:id="0">
    <w:p w14:paraId="5509B487" w14:textId="77777777" w:rsidR="00CA005E" w:rsidRDefault="00CA005E">
      <w:r>
        <w:continuationSeparator/>
      </w:r>
    </w:p>
  </w:footnote>
  <w:footnote w:type="continuationNotice" w:id="1">
    <w:p w14:paraId="1D144097" w14:textId="77777777" w:rsidR="00CA005E" w:rsidRDefault="00CA00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433289" w:rsidRDefault="004332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433289" w:rsidRDefault="004332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433289" w:rsidRDefault="004332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97B2143"/>
    <w:multiLevelType w:val="hybridMultilevel"/>
    <w:tmpl w:val="90B4D82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8F4092"/>
    <w:multiLevelType w:val="multilevel"/>
    <w:tmpl w:val="338F40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67F278DB"/>
    <w:multiLevelType w:val="hybridMultilevel"/>
    <w:tmpl w:val="5A3E54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D605B81"/>
    <w:multiLevelType w:val="hybridMultilevel"/>
    <w:tmpl w:val="75629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4AD5EA3"/>
    <w:multiLevelType w:val="hybridMultilevel"/>
    <w:tmpl w:val="B32E6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5A9226F"/>
    <w:multiLevelType w:val="multilevel"/>
    <w:tmpl w:val="75A9226F"/>
    <w:lvl w:ilvl="0">
      <w:start w:val="1"/>
      <w:numFmt w:val="bullet"/>
      <w:lvlText w:val="−"/>
      <w:lvlJc w:val="left"/>
      <w:pPr>
        <w:ind w:left="720" w:hanging="360"/>
      </w:pPr>
      <w:rPr>
        <w:rFonts w:ascii="Microsoft YaHei" w:eastAsia="Microsoft YaHei" w:hAnsi="Microsoft YaHei" w:hint="eastAsia"/>
        <w:lang w:val="en-GB"/>
      </w:rPr>
    </w:lvl>
    <w:lvl w:ilvl="1">
      <w:start w:val="1"/>
      <w:numFmt w:val="bullet"/>
      <w:lvlText w:val="−"/>
      <w:lvlJc w:val="left"/>
      <w:pPr>
        <w:ind w:left="1440" w:hanging="360"/>
      </w:pPr>
      <w:rPr>
        <w:rFonts w:ascii="Microsoft YaHei" w:eastAsia="Microsoft YaHei" w:hAnsi="Microsoft YaHei"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5F33874"/>
    <w:multiLevelType w:val="hybridMultilevel"/>
    <w:tmpl w:val="76A89FA6"/>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5" w15:restartNumberingAfterBreak="0">
    <w:nsid w:val="78CE5C05"/>
    <w:multiLevelType w:val="hybridMultilevel"/>
    <w:tmpl w:val="C64E3F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B8E3F09"/>
    <w:multiLevelType w:val="hybridMultilevel"/>
    <w:tmpl w:val="10E68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4"/>
  </w:num>
  <w:num w:numId="6">
    <w:abstractNumId w:val="7"/>
  </w:num>
  <w:num w:numId="7">
    <w:abstractNumId w:val="8"/>
  </w:num>
  <w:num w:numId="8">
    <w:abstractNumId w:val="9"/>
  </w:num>
  <w:num w:numId="9">
    <w:abstractNumId w:val="13"/>
  </w:num>
  <w:num w:numId="10">
    <w:abstractNumId w:val="17"/>
  </w:num>
  <w:num w:numId="11">
    <w:abstractNumId w:val="10"/>
  </w:num>
  <w:num w:numId="12">
    <w:abstractNumId w:val="3"/>
  </w:num>
  <w:num w:numId="13">
    <w:abstractNumId w:val="5"/>
  </w:num>
  <w:num w:numId="14">
    <w:abstractNumId w:val="2"/>
  </w:num>
  <w:num w:numId="15">
    <w:abstractNumId w:val="12"/>
  </w:num>
  <w:num w:numId="16">
    <w:abstractNumId w:val="16"/>
  </w:num>
  <w:num w:numId="17">
    <w:abstractNumId w:val="15"/>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954"/>
    <w:rsid w:val="00023C40"/>
    <w:rsid w:val="00033397"/>
    <w:rsid w:val="00040095"/>
    <w:rsid w:val="00073C9C"/>
    <w:rsid w:val="00080512"/>
    <w:rsid w:val="0008463A"/>
    <w:rsid w:val="00090468"/>
    <w:rsid w:val="00094568"/>
    <w:rsid w:val="000B7BCF"/>
    <w:rsid w:val="000C2142"/>
    <w:rsid w:val="000C522B"/>
    <w:rsid w:val="000D58AB"/>
    <w:rsid w:val="000F072E"/>
    <w:rsid w:val="00112F1A"/>
    <w:rsid w:val="00145075"/>
    <w:rsid w:val="001600AA"/>
    <w:rsid w:val="001741A0"/>
    <w:rsid w:val="00175FA0"/>
    <w:rsid w:val="00180404"/>
    <w:rsid w:val="001849D2"/>
    <w:rsid w:val="00194CD0"/>
    <w:rsid w:val="001B42CE"/>
    <w:rsid w:val="001B49C9"/>
    <w:rsid w:val="001B595B"/>
    <w:rsid w:val="001C23F4"/>
    <w:rsid w:val="001C4F79"/>
    <w:rsid w:val="001D075F"/>
    <w:rsid w:val="001D5F5E"/>
    <w:rsid w:val="001F168B"/>
    <w:rsid w:val="001F1EB9"/>
    <w:rsid w:val="001F7831"/>
    <w:rsid w:val="00204045"/>
    <w:rsid w:val="0020712B"/>
    <w:rsid w:val="0022606D"/>
    <w:rsid w:val="00231728"/>
    <w:rsid w:val="00244A05"/>
    <w:rsid w:val="00250404"/>
    <w:rsid w:val="002524A6"/>
    <w:rsid w:val="002610D8"/>
    <w:rsid w:val="002747EC"/>
    <w:rsid w:val="002855BF"/>
    <w:rsid w:val="002E25FA"/>
    <w:rsid w:val="002F0ABD"/>
    <w:rsid w:val="002F0D22"/>
    <w:rsid w:val="00311B17"/>
    <w:rsid w:val="003172DC"/>
    <w:rsid w:val="00325AE3"/>
    <w:rsid w:val="00326069"/>
    <w:rsid w:val="00352886"/>
    <w:rsid w:val="0035462D"/>
    <w:rsid w:val="0036459E"/>
    <w:rsid w:val="00364B41"/>
    <w:rsid w:val="003703DF"/>
    <w:rsid w:val="00383096"/>
    <w:rsid w:val="0039346C"/>
    <w:rsid w:val="003A41EF"/>
    <w:rsid w:val="003B40AD"/>
    <w:rsid w:val="003C4E37"/>
    <w:rsid w:val="003E16BE"/>
    <w:rsid w:val="003F1492"/>
    <w:rsid w:val="003F4E28"/>
    <w:rsid w:val="004006E8"/>
    <w:rsid w:val="00401855"/>
    <w:rsid w:val="00406942"/>
    <w:rsid w:val="004146C1"/>
    <w:rsid w:val="0042758C"/>
    <w:rsid w:val="00433289"/>
    <w:rsid w:val="00441484"/>
    <w:rsid w:val="0046518C"/>
    <w:rsid w:val="00465587"/>
    <w:rsid w:val="00477455"/>
    <w:rsid w:val="004A1F7B"/>
    <w:rsid w:val="004A3011"/>
    <w:rsid w:val="004C44D2"/>
    <w:rsid w:val="004D3578"/>
    <w:rsid w:val="004D380D"/>
    <w:rsid w:val="004E07CC"/>
    <w:rsid w:val="004E213A"/>
    <w:rsid w:val="004F4540"/>
    <w:rsid w:val="004F51C0"/>
    <w:rsid w:val="004F73A7"/>
    <w:rsid w:val="00503171"/>
    <w:rsid w:val="00506C28"/>
    <w:rsid w:val="00507BEB"/>
    <w:rsid w:val="00534DA0"/>
    <w:rsid w:val="00543E6C"/>
    <w:rsid w:val="0056384C"/>
    <w:rsid w:val="00565087"/>
    <w:rsid w:val="0056573F"/>
    <w:rsid w:val="00567837"/>
    <w:rsid w:val="00571279"/>
    <w:rsid w:val="005A49C6"/>
    <w:rsid w:val="005A61DB"/>
    <w:rsid w:val="00611566"/>
    <w:rsid w:val="006404EC"/>
    <w:rsid w:val="00646D99"/>
    <w:rsid w:val="00654359"/>
    <w:rsid w:val="00656910"/>
    <w:rsid w:val="006574C0"/>
    <w:rsid w:val="00696821"/>
    <w:rsid w:val="006B0D25"/>
    <w:rsid w:val="006C1CB9"/>
    <w:rsid w:val="006C66D8"/>
    <w:rsid w:val="006D09FF"/>
    <w:rsid w:val="006D1E24"/>
    <w:rsid w:val="006D35DE"/>
    <w:rsid w:val="006E1057"/>
    <w:rsid w:val="006E1417"/>
    <w:rsid w:val="006F6A2C"/>
    <w:rsid w:val="007069DC"/>
    <w:rsid w:val="00710201"/>
    <w:rsid w:val="0072073A"/>
    <w:rsid w:val="00732D7E"/>
    <w:rsid w:val="007342B5"/>
    <w:rsid w:val="00734A5B"/>
    <w:rsid w:val="00736B51"/>
    <w:rsid w:val="00744E76"/>
    <w:rsid w:val="00757D40"/>
    <w:rsid w:val="007662B5"/>
    <w:rsid w:val="00781F0F"/>
    <w:rsid w:val="00783F73"/>
    <w:rsid w:val="0078727C"/>
    <w:rsid w:val="00787D2F"/>
    <w:rsid w:val="0079049D"/>
    <w:rsid w:val="00793DC5"/>
    <w:rsid w:val="00796823"/>
    <w:rsid w:val="007A2E55"/>
    <w:rsid w:val="007A7B8D"/>
    <w:rsid w:val="007B18D8"/>
    <w:rsid w:val="007C095F"/>
    <w:rsid w:val="007C0ABE"/>
    <w:rsid w:val="007C2DD0"/>
    <w:rsid w:val="007E3B6E"/>
    <w:rsid w:val="007F2E08"/>
    <w:rsid w:val="008028A4"/>
    <w:rsid w:val="00813245"/>
    <w:rsid w:val="00813522"/>
    <w:rsid w:val="00840DE0"/>
    <w:rsid w:val="008549EC"/>
    <w:rsid w:val="008607A8"/>
    <w:rsid w:val="008622C2"/>
    <w:rsid w:val="0086354A"/>
    <w:rsid w:val="008768CA"/>
    <w:rsid w:val="00877EF9"/>
    <w:rsid w:val="00880559"/>
    <w:rsid w:val="008A732E"/>
    <w:rsid w:val="008B5306"/>
    <w:rsid w:val="008C2E2A"/>
    <w:rsid w:val="008C3057"/>
    <w:rsid w:val="008D2E4D"/>
    <w:rsid w:val="008D487E"/>
    <w:rsid w:val="008F396F"/>
    <w:rsid w:val="008F3DCD"/>
    <w:rsid w:val="0090271F"/>
    <w:rsid w:val="00902DB9"/>
    <w:rsid w:val="009042FF"/>
    <w:rsid w:val="0090466A"/>
    <w:rsid w:val="00923655"/>
    <w:rsid w:val="00936071"/>
    <w:rsid w:val="009376CD"/>
    <w:rsid w:val="0093F53D"/>
    <w:rsid w:val="00940212"/>
    <w:rsid w:val="00942EC2"/>
    <w:rsid w:val="00961B32"/>
    <w:rsid w:val="00962509"/>
    <w:rsid w:val="00970DB3"/>
    <w:rsid w:val="00974BB0"/>
    <w:rsid w:val="00975BCD"/>
    <w:rsid w:val="00991C16"/>
    <w:rsid w:val="009928A9"/>
    <w:rsid w:val="009A0AF3"/>
    <w:rsid w:val="009A233F"/>
    <w:rsid w:val="009B07CD"/>
    <w:rsid w:val="009C19E9"/>
    <w:rsid w:val="009D74A6"/>
    <w:rsid w:val="009E0E87"/>
    <w:rsid w:val="00A10F02"/>
    <w:rsid w:val="00A204CA"/>
    <w:rsid w:val="00A209D6"/>
    <w:rsid w:val="00A22738"/>
    <w:rsid w:val="00A252E6"/>
    <w:rsid w:val="00A430EC"/>
    <w:rsid w:val="00A516A3"/>
    <w:rsid w:val="00A53724"/>
    <w:rsid w:val="00A54B2B"/>
    <w:rsid w:val="00A56BD9"/>
    <w:rsid w:val="00A82346"/>
    <w:rsid w:val="00A9671C"/>
    <w:rsid w:val="00AA054B"/>
    <w:rsid w:val="00AA1553"/>
    <w:rsid w:val="00AF2D8A"/>
    <w:rsid w:val="00AF387F"/>
    <w:rsid w:val="00B05380"/>
    <w:rsid w:val="00B05962"/>
    <w:rsid w:val="00B15449"/>
    <w:rsid w:val="00B16C2F"/>
    <w:rsid w:val="00B27303"/>
    <w:rsid w:val="00B36208"/>
    <w:rsid w:val="00B4037C"/>
    <w:rsid w:val="00B47FD1"/>
    <w:rsid w:val="00B516BB"/>
    <w:rsid w:val="00B7538C"/>
    <w:rsid w:val="00B84DB2"/>
    <w:rsid w:val="00BA79E9"/>
    <w:rsid w:val="00BC3555"/>
    <w:rsid w:val="00BE74F5"/>
    <w:rsid w:val="00BE7995"/>
    <w:rsid w:val="00BF513B"/>
    <w:rsid w:val="00C12B51"/>
    <w:rsid w:val="00C24650"/>
    <w:rsid w:val="00C25465"/>
    <w:rsid w:val="00C33079"/>
    <w:rsid w:val="00C44F72"/>
    <w:rsid w:val="00C55A12"/>
    <w:rsid w:val="00C6553E"/>
    <w:rsid w:val="00C75E28"/>
    <w:rsid w:val="00C83A13"/>
    <w:rsid w:val="00C8464A"/>
    <w:rsid w:val="00C86F10"/>
    <w:rsid w:val="00C9068C"/>
    <w:rsid w:val="00C92967"/>
    <w:rsid w:val="00CA005E"/>
    <w:rsid w:val="00CA3D0C"/>
    <w:rsid w:val="00CA654B"/>
    <w:rsid w:val="00CB53FA"/>
    <w:rsid w:val="00CB72B8"/>
    <w:rsid w:val="00CD0BA8"/>
    <w:rsid w:val="00CD3709"/>
    <w:rsid w:val="00CD4C7B"/>
    <w:rsid w:val="00CD58FE"/>
    <w:rsid w:val="00CF3816"/>
    <w:rsid w:val="00CF4946"/>
    <w:rsid w:val="00D02A90"/>
    <w:rsid w:val="00D07D31"/>
    <w:rsid w:val="00D07E01"/>
    <w:rsid w:val="00D230EE"/>
    <w:rsid w:val="00D26BBE"/>
    <w:rsid w:val="00D33BE3"/>
    <w:rsid w:val="00D3792D"/>
    <w:rsid w:val="00D55E47"/>
    <w:rsid w:val="00D62E19"/>
    <w:rsid w:val="00D67CD1"/>
    <w:rsid w:val="00D738D6"/>
    <w:rsid w:val="00D80795"/>
    <w:rsid w:val="00D83463"/>
    <w:rsid w:val="00D854BE"/>
    <w:rsid w:val="00D87E00"/>
    <w:rsid w:val="00D9134D"/>
    <w:rsid w:val="00D96D11"/>
    <w:rsid w:val="00DA7A03"/>
    <w:rsid w:val="00DB0DB8"/>
    <w:rsid w:val="00DB1818"/>
    <w:rsid w:val="00DC309B"/>
    <w:rsid w:val="00DC4DA2"/>
    <w:rsid w:val="00DC5261"/>
    <w:rsid w:val="00DC6121"/>
    <w:rsid w:val="00DD6067"/>
    <w:rsid w:val="00DE25D2"/>
    <w:rsid w:val="00E0257A"/>
    <w:rsid w:val="00E31861"/>
    <w:rsid w:val="00E35A31"/>
    <w:rsid w:val="00E363C3"/>
    <w:rsid w:val="00E4215C"/>
    <w:rsid w:val="00E42660"/>
    <w:rsid w:val="00E435FD"/>
    <w:rsid w:val="00E46C08"/>
    <w:rsid w:val="00E471CF"/>
    <w:rsid w:val="00E62835"/>
    <w:rsid w:val="00E77645"/>
    <w:rsid w:val="00E83697"/>
    <w:rsid w:val="00E859B6"/>
    <w:rsid w:val="00EA66C9"/>
    <w:rsid w:val="00EC4A25"/>
    <w:rsid w:val="00ED2F40"/>
    <w:rsid w:val="00EE111C"/>
    <w:rsid w:val="00EF612C"/>
    <w:rsid w:val="00F025A2"/>
    <w:rsid w:val="00F036E9"/>
    <w:rsid w:val="00F07388"/>
    <w:rsid w:val="00F2026E"/>
    <w:rsid w:val="00F2210A"/>
    <w:rsid w:val="00F31372"/>
    <w:rsid w:val="00F37743"/>
    <w:rsid w:val="00F451F8"/>
    <w:rsid w:val="00F54A3D"/>
    <w:rsid w:val="00F54CB0"/>
    <w:rsid w:val="00F579CD"/>
    <w:rsid w:val="00F653B8"/>
    <w:rsid w:val="00F71B89"/>
    <w:rsid w:val="00F7353C"/>
    <w:rsid w:val="00F76F8F"/>
    <w:rsid w:val="00F941DF"/>
    <w:rsid w:val="00F94A77"/>
    <w:rsid w:val="00FA1266"/>
    <w:rsid w:val="00FB36FA"/>
    <w:rsid w:val="00FC029D"/>
    <w:rsid w:val="00FC1192"/>
    <w:rsid w:val="00FE07DC"/>
    <w:rsid w:val="00FE106D"/>
    <w:rsid w:val="00FE251B"/>
    <w:rsid w:val="0909F80A"/>
    <w:rsid w:val="1AF520D1"/>
    <w:rsid w:val="26B9E955"/>
    <w:rsid w:val="2B79A9F4"/>
    <w:rsid w:val="2E3C3DE9"/>
    <w:rsid w:val="32CC9281"/>
    <w:rsid w:val="372F2A27"/>
    <w:rsid w:val="41C9CF60"/>
    <w:rsid w:val="473F1665"/>
    <w:rsid w:val="47EBA8DE"/>
    <w:rsid w:val="4E8F2A0B"/>
    <w:rsid w:val="51D6F158"/>
    <w:rsid w:val="6B8E8BB5"/>
    <w:rsid w:val="73F5C37A"/>
    <w:rsid w:val="742E55F2"/>
    <w:rsid w:val="7CE5289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568C924D-DA0B-421E-B8EA-094D4FF11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BA79E9"/>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qFormat/>
    <w:rsid w:val="00CF3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CF3816"/>
    <w:rPr>
      <w:rFonts w:ascii="Arial" w:hAnsi="Arial"/>
      <w:sz w:val="32"/>
      <w:lang w:eastAsia="en-US"/>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Normal"/>
    <w:link w:val="ListParagraphChar"/>
    <w:uiPriority w:val="34"/>
    <w:qFormat/>
    <w:rsid w:val="00AA054B"/>
    <w:pPr>
      <w:ind w:left="720"/>
      <w:contextualSpacing/>
    </w:p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1F1EB9"/>
    <w:rPr>
      <w:lang w:eastAsia="en-US"/>
    </w:rPr>
  </w:style>
  <w:style w:type="character" w:customStyle="1" w:styleId="B2Char">
    <w:name w:val="B2 Char"/>
    <w:link w:val="B2"/>
    <w:qFormat/>
    <w:rsid w:val="00D07D31"/>
    <w:rPr>
      <w:lang w:eastAsia="en-US"/>
    </w:rPr>
  </w:style>
  <w:style w:type="paragraph" w:customStyle="1" w:styleId="Cat-b-Proposal">
    <w:name w:val="Cat-b-Proposal"/>
    <w:basedOn w:val="Normal"/>
    <w:qFormat/>
    <w:rsid w:val="00D07D31"/>
    <w:pPr>
      <w:numPr>
        <w:numId w:val="14"/>
      </w:numPr>
      <w:tabs>
        <w:tab w:val="left" w:pos="1701"/>
      </w:tabs>
      <w:spacing w:after="0" w:line="259" w:lineRule="auto"/>
      <w:ind w:left="1588" w:hanging="1588"/>
    </w:pPr>
    <w:rPr>
      <w:rFonts w:asciiTheme="minorHAnsi" w:eastAsiaTheme="minorEastAsia" w:hAnsiTheme="minorHAnsi" w:cstheme="minorBidi"/>
      <w:b/>
      <w:bCs/>
      <w:sz w:val="24"/>
      <w:szCs w:val="24"/>
      <w:lang w:val="en-US" w:eastAsia="zh-CN"/>
    </w:rPr>
  </w:style>
  <w:style w:type="character" w:styleId="CommentReference">
    <w:name w:val="annotation reference"/>
    <w:basedOn w:val="DefaultParagraphFont"/>
    <w:rsid w:val="00BF513B"/>
    <w:rPr>
      <w:sz w:val="16"/>
      <w:szCs w:val="16"/>
    </w:rPr>
  </w:style>
  <w:style w:type="paragraph" w:styleId="CommentText">
    <w:name w:val="annotation text"/>
    <w:basedOn w:val="Normal"/>
    <w:link w:val="CommentTextChar"/>
    <w:rsid w:val="00BF513B"/>
  </w:style>
  <w:style w:type="character" w:customStyle="1" w:styleId="CommentTextChar">
    <w:name w:val="Comment Text Char"/>
    <w:basedOn w:val="DefaultParagraphFont"/>
    <w:link w:val="CommentText"/>
    <w:rsid w:val="00BF513B"/>
    <w:rPr>
      <w:lang w:eastAsia="en-US"/>
    </w:rPr>
  </w:style>
  <w:style w:type="paragraph" w:styleId="CommentSubject">
    <w:name w:val="annotation subject"/>
    <w:basedOn w:val="CommentText"/>
    <w:next w:val="CommentText"/>
    <w:link w:val="CommentSubjectChar"/>
    <w:rsid w:val="00BF513B"/>
    <w:rPr>
      <w:b/>
      <w:bCs/>
    </w:rPr>
  </w:style>
  <w:style w:type="character" w:customStyle="1" w:styleId="CommentSubjectChar">
    <w:name w:val="Comment Subject Char"/>
    <w:basedOn w:val="CommentTextChar"/>
    <w:link w:val="CommentSubject"/>
    <w:rsid w:val="00BF513B"/>
    <w:rPr>
      <w:b/>
      <w:bCs/>
      <w:lang w:eastAsia="en-US"/>
    </w:rPr>
  </w:style>
  <w:style w:type="paragraph" w:styleId="Caption">
    <w:name w:val="caption"/>
    <w:basedOn w:val="Normal"/>
    <w:next w:val="Normal"/>
    <w:unhideWhenUsed/>
    <w:qFormat/>
    <w:rsid w:val="00BF513B"/>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382576">
      <w:bodyDiv w:val="1"/>
      <w:marLeft w:val="0"/>
      <w:marRight w:val="0"/>
      <w:marTop w:val="0"/>
      <w:marBottom w:val="0"/>
      <w:divBdr>
        <w:top w:val="none" w:sz="0" w:space="0" w:color="auto"/>
        <w:left w:val="none" w:sz="0" w:space="0" w:color="auto"/>
        <w:bottom w:val="none" w:sz="0" w:space="0" w:color="auto"/>
        <w:right w:val="none" w:sz="0" w:space="0" w:color="auto"/>
      </w:divBdr>
    </w:div>
    <w:div w:id="487484281">
      <w:bodyDiv w:val="1"/>
      <w:marLeft w:val="0"/>
      <w:marRight w:val="0"/>
      <w:marTop w:val="0"/>
      <w:marBottom w:val="0"/>
      <w:divBdr>
        <w:top w:val="none" w:sz="0" w:space="0" w:color="auto"/>
        <w:left w:val="none" w:sz="0" w:space="0" w:color="auto"/>
        <w:bottom w:val="none" w:sz="0" w:space="0" w:color="auto"/>
        <w:right w:val="none" w:sz="0" w:space="0" w:color="auto"/>
      </w:divBdr>
      <w:divsChild>
        <w:div w:id="836264440">
          <w:marLeft w:val="360"/>
          <w:marRight w:val="0"/>
          <w:marTop w:val="0"/>
          <w:marBottom w:val="12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54488924">
      <w:bodyDiv w:val="1"/>
      <w:marLeft w:val="0"/>
      <w:marRight w:val="0"/>
      <w:marTop w:val="0"/>
      <w:marBottom w:val="0"/>
      <w:divBdr>
        <w:top w:val="none" w:sz="0" w:space="0" w:color="auto"/>
        <w:left w:val="none" w:sz="0" w:space="0" w:color="auto"/>
        <w:bottom w:val="none" w:sz="0" w:space="0" w:color="auto"/>
        <w:right w:val="none" w:sz="0" w:space="0" w:color="auto"/>
      </w:divBdr>
    </w:div>
    <w:div w:id="121773635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03664260">
      <w:bodyDiv w:val="1"/>
      <w:marLeft w:val="0"/>
      <w:marRight w:val="0"/>
      <w:marTop w:val="0"/>
      <w:marBottom w:val="0"/>
      <w:divBdr>
        <w:top w:val="none" w:sz="0" w:space="0" w:color="auto"/>
        <w:left w:val="none" w:sz="0" w:space="0" w:color="auto"/>
        <w:bottom w:val="none" w:sz="0" w:space="0" w:color="auto"/>
        <w:right w:val="none" w:sz="0" w:space="0" w:color="auto"/>
      </w:divBdr>
    </w:div>
    <w:div w:id="1686010617">
      <w:bodyDiv w:val="1"/>
      <w:marLeft w:val="0"/>
      <w:marRight w:val="0"/>
      <w:marTop w:val="0"/>
      <w:marBottom w:val="0"/>
      <w:divBdr>
        <w:top w:val="none" w:sz="0" w:space="0" w:color="auto"/>
        <w:left w:val="none" w:sz="0" w:space="0" w:color="auto"/>
        <w:bottom w:val="none" w:sz="0" w:space="0" w:color="auto"/>
        <w:right w:val="none" w:sz="0" w:space="0" w:color="auto"/>
      </w:divBdr>
    </w:div>
    <w:div w:id="1868834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10" ma:contentTypeDescription="Create a new document." ma:contentTypeScope="" ma:versionID="58a75a92ed31d3cf2934fb523b65ac61">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f06250c57ec3294ad46a526749279608"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5AIRPNAIUNRU-490051479-3624</_dlc_DocId>
    <_dlc_DocIdUrl xmlns="71c5aaf6-e6ce-465b-b873-5148d2a4c105">
      <Url>https://nokia.sharepoint.com/sites/c5g/projects/FAAS/_layouts/15/DocIdRedir.aspx?ID=5AIRPNAIUNRU-490051479-3624</Url>
      <Description>5AIRPNAIUNRU-490051479-3624</Description>
    </_dlc_DocIdUrl>
    <Document_x0020_category xmlns="3b34c8f0-1ef5-4d1e-bb66-517ce7fe7356" xsi:nil="true"/>
    <_Flow_SignoffStatus xmlns="bd98b143-97af-43fb-a8de-63b93b944041"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A1B710F-3CC9-4F9B-B1CE-63D48EBDE0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 ds:uri="bd98b143-97af-43fb-a8de-63b93b944041"/>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1338</Words>
  <Characters>6539</Characters>
  <Application>Microsoft Office Word</Application>
  <DocSecurity>0</DocSecurity>
  <Lines>54</Lines>
  <Paragraphs>15</Paragraphs>
  <ScaleCrop>false</ScaleCrop>
  <Manager/>
  <Company>Nokia</Company>
  <LinksUpToDate>false</LinksUpToDate>
  <CharactersWithSpaces>7862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Malgorzata Tomala</cp:lastModifiedBy>
  <cp:revision>2</cp:revision>
  <dcterms:created xsi:type="dcterms:W3CDTF">2021-10-22T04:02:00Z</dcterms:created>
  <dcterms:modified xsi:type="dcterms:W3CDTF">2021-10-22T04:02:00Z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0x0101000D80AB1E28B1A446B9660DD9C95CAD4B</vt:lpwstr>
  </property>
  <property fmtid="{D5CDD505-2E9C-101B-9397-08002B2CF9AE}" pid="3" name="_dlc_DocIdItemGuid">
    <vt:lpwstr>19c90346-bb3d-4fe5-bd1d-ef3a05df8bc6</vt:lpwstr>
  </property>
</Properties>
</file>